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0C45" w14:textId="2BE75EA8" w:rsidR="00213E0B" w:rsidRDefault="00813AAD" w:rsidP="000B7CF8">
      <w:pPr>
        <w:spacing w:after="0" w:line="240" w:lineRule="auto"/>
        <w:jc w:val="center"/>
        <w:rPr>
          <w:i/>
          <w:color w:val="FF0000"/>
          <w:sz w:val="24"/>
        </w:rPr>
      </w:pPr>
      <w:proofErr w:type="spellStart"/>
      <w:r>
        <w:rPr>
          <w:i/>
          <w:color w:val="FF0000"/>
          <w:sz w:val="24"/>
        </w:rPr>
        <w:t>O</w:t>
      </w:r>
      <w:r w:rsidR="00213E0B">
        <w:rPr>
          <w:i/>
          <w:color w:val="FF0000"/>
          <w:sz w:val="24"/>
        </w:rPr>
        <w:t>n</w:t>
      </w:r>
      <w:r w:rsidR="00213E0B" w:rsidRPr="00213E0B">
        <w:rPr>
          <w:i/>
          <w:color w:val="FF0000"/>
          <w:sz w:val="24"/>
        </w:rPr>
        <w:t>ly</w:t>
      </w:r>
      <w:proofErr w:type="spellEnd"/>
      <w:r w:rsidR="00213E0B" w:rsidRPr="00213E0B">
        <w:rPr>
          <w:i/>
          <w:color w:val="FF0000"/>
          <w:sz w:val="24"/>
        </w:rPr>
        <w:t xml:space="preserve"> </w:t>
      </w:r>
      <w:proofErr w:type="spellStart"/>
      <w:r w:rsidR="00213E0B" w:rsidRPr="00213E0B">
        <w:rPr>
          <w:i/>
          <w:color w:val="FF0000"/>
          <w:sz w:val="24"/>
        </w:rPr>
        <w:t>holders</w:t>
      </w:r>
      <w:proofErr w:type="spellEnd"/>
      <w:r w:rsidR="00213E0B" w:rsidRPr="00213E0B">
        <w:rPr>
          <w:i/>
          <w:color w:val="FF0000"/>
          <w:sz w:val="24"/>
        </w:rPr>
        <w:t xml:space="preserve"> </w:t>
      </w:r>
      <w:proofErr w:type="spellStart"/>
      <w:r w:rsidR="00213E0B" w:rsidRPr="00213E0B">
        <w:rPr>
          <w:i/>
          <w:color w:val="FF0000"/>
          <w:sz w:val="24"/>
        </w:rPr>
        <w:t>of</w:t>
      </w:r>
      <w:proofErr w:type="spellEnd"/>
      <w:r w:rsidR="00213E0B" w:rsidRPr="00213E0B">
        <w:rPr>
          <w:i/>
          <w:color w:val="FF0000"/>
          <w:sz w:val="24"/>
        </w:rPr>
        <w:t xml:space="preserve"> </w:t>
      </w:r>
      <w:proofErr w:type="spellStart"/>
      <w:r w:rsidR="00213E0B" w:rsidRPr="00213E0B">
        <w:rPr>
          <w:i/>
          <w:color w:val="FF0000"/>
          <w:sz w:val="24"/>
        </w:rPr>
        <w:t>other</w:t>
      </w:r>
      <w:proofErr w:type="spellEnd"/>
      <w:r w:rsidR="00213E0B" w:rsidRPr="00213E0B">
        <w:rPr>
          <w:i/>
          <w:color w:val="FF0000"/>
          <w:sz w:val="24"/>
        </w:rPr>
        <w:t xml:space="preserve"> AS</w:t>
      </w:r>
      <w:bookmarkStart w:id="0" w:name="_GoBack"/>
      <w:bookmarkEnd w:id="0"/>
      <w:r w:rsidR="00213E0B" w:rsidRPr="00213E0B">
        <w:rPr>
          <w:i/>
          <w:color w:val="FF0000"/>
          <w:sz w:val="24"/>
        </w:rPr>
        <w:t xml:space="preserve">F </w:t>
      </w:r>
      <w:proofErr w:type="spellStart"/>
      <w:r w:rsidR="00213E0B" w:rsidRPr="00213E0B">
        <w:rPr>
          <w:i/>
          <w:color w:val="FF0000"/>
          <w:sz w:val="24"/>
        </w:rPr>
        <w:t>licenses</w:t>
      </w:r>
      <w:proofErr w:type="spellEnd"/>
      <w:r w:rsidR="00213E0B" w:rsidRPr="00213E0B">
        <w:rPr>
          <w:i/>
          <w:color w:val="FF0000"/>
          <w:sz w:val="24"/>
        </w:rPr>
        <w:t xml:space="preserve">, </w:t>
      </w:r>
      <w:proofErr w:type="spellStart"/>
      <w:r w:rsidR="00213E0B" w:rsidRPr="00213E0B">
        <w:rPr>
          <w:i/>
          <w:color w:val="FF0000"/>
          <w:sz w:val="24"/>
        </w:rPr>
        <w:t>who</w:t>
      </w:r>
      <w:proofErr w:type="spellEnd"/>
      <w:r w:rsidR="00213E0B" w:rsidRPr="00213E0B">
        <w:rPr>
          <w:i/>
          <w:color w:val="FF0000"/>
          <w:sz w:val="24"/>
        </w:rPr>
        <w:t xml:space="preserve"> </w:t>
      </w:r>
      <w:proofErr w:type="spellStart"/>
      <w:r w:rsidR="00213E0B" w:rsidRPr="00213E0B">
        <w:rPr>
          <w:i/>
          <w:color w:val="FF0000"/>
          <w:sz w:val="24"/>
        </w:rPr>
        <w:t>want</w:t>
      </w:r>
      <w:proofErr w:type="spellEnd"/>
      <w:r w:rsidR="00213E0B" w:rsidRPr="00213E0B">
        <w:rPr>
          <w:i/>
          <w:color w:val="FF0000"/>
          <w:sz w:val="24"/>
        </w:rPr>
        <w:t xml:space="preserve"> to </w:t>
      </w:r>
      <w:proofErr w:type="spellStart"/>
      <w:r w:rsidR="00213E0B" w:rsidRPr="00213E0B">
        <w:rPr>
          <w:i/>
          <w:color w:val="FF0000"/>
          <w:sz w:val="24"/>
        </w:rPr>
        <w:t>participate</w:t>
      </w:r>
      <w:proofErr w:type="spellEnd"/>
      <w:r w:rsidR="00213E0B" w:rsidRPr="00213E0B">
        <w:rPr>
          <w:i/>
          <w:color w:val="FF0000"/>
          <w:sz w:val="24"/>
        </w:rPr>
        <w:t xml:space="preserve"> </w:t>
      </w:r>
      <w:proofErr w:type="spellStart"/>
      <w:r w:rsidR="00213E0B" w:rsidRPr="00213E0B">
        <w:rPr>
          <w:i/>
          <w:color w:val="FF0000"/>
          <w:sz w:val="24"/>
        </w:rPr>
        <w:t>in</w:t>
      </w:r>
      <w:proofErr w:type="spellEnd"/>
      <w:r w:rsidR="00213E0B" w:rsidRPr="00213E0B">
        <w:rPr>
          <w:i/>
          <w:color w:val="FF0000"/>
          <w:sz w:val="24"/>
        </w:rPr>
        <w:t xml:space="preserve"> LAKČ</w:t>
      </w:r>
      <w:r>
        <w:rPr>
          <w:i/>
          <w:color w:val="FF0000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must</w:t>
      </w:r>
      <w:proofErr w:type="spellEnd"/>
      <w:r>
        <w:rPr>
          <w:i/>
          <w:color w:val="FF0000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fill</w:t>
      </w:r>
      <w:proofErr w:type="spellEnd"/>
      <w:r>
        <w:rPr>
          <w:i/>
          <w:color w:val="FF0000"/>
          <w:sz w:val="24"/>
        </w:rPr>
        <w:t xml:space="preserve"> it </w:t>
      </w:r>
      <w:proofErr w:type="spellStart"/>
      <w:r>
        <w:rPr>
          <w:i/>
          <w:color w:val="FF0000"/>
          <w:sz w:val="24"/>
        </w:rPr>
        <w:t>out</w:t>
      </w:r>
      <w:proofErr w:type="spellEnd"/>
    </w:p>
    <w:p w14:paraId="3E86D1BD" w14:textId="77777777" w:rsidR="00213E0B" w:rsidRPr="00213E0B" w:rsidRDefault="00213E0B" w:rsidP="000B7CF8">
      <w:pPr>
        <w:spacing w:after="0" w:line="240" w:lineRule="auto"/>
        <w:jc w:val="center"/>
        <w:rPr>
          <w:i/>
          <w:color w:val="FF0000"/>
          <w:sz w:val="24"/>
        </w:rPr>
      </w:pPr>
    </w:p>
    <w:p w14:paraId="463B1B7B" w14:textId="1DB2561B" w:rsidR="00A812AD" w:rsidRPr="00D9551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213E0B">
        <w:rPr>
          <w:b/>
          <w:sz w:val="24"/>
        </w:rPr>
        <w:t>3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proofErr w:type="spellEnd"/>
    </w:p>
    <w:p w14:paraId="649A053D" w14:textId="30777D2D" w:rsidR="00A812A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7D1B4C6A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</w:t>
      </w:r>
      <w:r w:rsidR="0023120E">
        <w:t>2</w:t>
      </w:r>
      <w:r w:rsidR="00213E0B">
        <w:t>3</w:t>
      </w:r>
      <w:r w:rsidR="0023120E">
        <w:t xml:space="preserve">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</w:t>
      </w:r>
      <w:proofErr w:type="spellStart"/>
      <w:r w:rsidR="00213E0B">
        <w:t>Cross</w:t>
      </w:r>
      <w:proofErr w:type="spellEnd"/>
      <w:r w:rsidR="00213E0B">
        <w:t xml:space="preserve"> </w:t>
      </w:r>
      <w:proofErr w:type="spellStart"/>
      <w:r w:rsidR="00213E0B">
        <w:t>Commitee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213E0B">
        <w:t xml:space="preserve"> to </w:t>
      </w:r>
      <w:proofErr w:type="spellStart"/>
      <w:r w:rsidR="00213E0B">
        <w:t>the</w:t>
      </w:r>
      <w:proofErr w:type="spellEnd"/>
      <w:r w:rsidR="00213E0B">
        <w:t xml:space="preserve"> </w:t>
      </w:r>
      <w:proofErr w:type="spellStart"/>
      <w:r w:rsidR="00FA52CD">
        <w:t>event</w:t>
      </w:r>
      <w:proofErr w:type="spellEnd"/>
      <w:r w:rsidR="00FA52CD">
        <w:t xml:space="preserve"> </w:t>
      </w:r>
      <w:proofErr w:type="spellStart"/>
      <w:r w:rsidR="00FA52CD">
        <w:t>Organizer</w:t>
      </w:r>
      <w:proofErr w:type="spellEnd"/>
      <w:r w:rsidR="00213E0B">
        <w:t xml:space="preserve"> </w:t>
      </w:r>
      <w:proofErr w:type="spellStart"/>
      <w:r w:rsidR="00213E0B">
        <w:t>no</w:t>
      </w:r>
      <w:proofErr w:type="spellEnd"/>
      <w:r w:rsidR="00213E0B">
        <w:t xml:space="preserve"> </w:t>
      </w:r>
      <w:proofErr w:type="spellStart"/>
      <w:r w:rsidR="00213E0B">
        <w:t>later</w:t>
      </w:r>
      <w:proofErr w:type="spellEnd"/>
      <w:r w:rsidR="00213E0B">
        <w:t xml:space="preserve"> </w:t>
      </w:r>
      <w:proofErr w:type="spellStart"/>
      <w:r w:rsidR="00213E0B">
        <w:t>before</w:t>
      </w:r>
      <w:proofErr w:type="spellEnd"/>
      <w:r w:rsidR="00213E0B">
        <w:t xml:space="preserve"> </w:t>
      </w:r>
      <w:proofErr w:type="spellStart"/>
      <w:r w:rsidR="00213E0B">
        <w:t>the</w:t>
      </w:r>
      <w:proofErr w:type="spellEnd"/>
      <w:r w:rsidR="00213E0B">
        <w:t xml:space="preserve"> </w:t>
      </w:r>
      <w:proofErr w:type="spellStart"/>
      <w:r w:rsidR="00213E0B">
        <w:t>end</w:t>
      </w:r>
      <w:proofErr w:type="spellEnd"/>
      <w:r w:rsidR="00213E0B">
        <w:t xml:space="preserve"> </w:t>
      </w:r>
      <w:proofErr w:type="spellStart"/>
      <w:r w:rsidR="00213E0B">
        <w:t>of</w:t>
      </w:r>
      <w:proofErr w:type="spellEnd"/>
      <w:r w:rsidR="00213E0B">
        <w:t xml:space="preserve"> </w:t>
      </w:r>
      <w:proofErr w:type="spellStart"/>
      <w:r w:rsidR="00213E0B">
        <w:t>the</w:t>
      </w:r>
      <w:proofErr w:type="spellEnd"/>
      <w:r w:rsidR="00213E0B">
        <w:t xml:space="preserve"> </w:t>
      </w:r>
      <w:proofErr w:type="spellStart"/>
      <w:r w:rsidR="00213E0B">
        <w:t>administrative</w:t>
      </w:r>
      <w:proofErr w:type="spellEnd"/>
      <w:r w:rsidR="00213E0B">
        <w:t xml:space="preserve"> </w:t>
      </w:r>
      <w:proofErr w:type="spellStart"/>
      <w:r w:rsidR="00213E0B">
        <w:t>check</w:t>
      </w:r>
      <w:proofErr w:type="spellEnd"/>
      <w:r w:rsidR="00FA52CD">
        <w:t xml:space="preserve">. </w:t>
      </w:r>
    </w:p>
    <w:p w14:paraId="3645EFBE" w14:textId="21F34512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D85337" w:rsidRPr="00E53299">
        <w:t>:</w:t>
      </w:r>
      <w:r w:rsidR="00C1772C">
        <w:t xml:space="preserve"> 50</w:t>
      </w:r>
      <w:r w:rsidR="000B7CF8" w:rsidRPr="00E53299">
        <w:t xml:space="preserve"> Eur</w:t>
      </w:r>
      <w:r w:rsidR="00EB7329">
        <w:t>.</w:t>
      </w:r>
    </w:p>
    <w:p w14:paraId="2AE65EE4" w14:textId="1EF66CBF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1F0596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1C475206" w:rsidR="00C65E60" w:rsidRPr="004F37BD" w:rsidRDefault="00C227B9" w:rsidP="00FB49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832A19">
              <w:rPr>
                <w:sz w:val="20"/>
                <w:szCs w:val="20"/>
              </w:rPr>
              <w:t>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10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inclusive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4D3D8E3" w:rsidR="00C65E60" w:rsidRPr="00382080" w:rsidRDefault="00021425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6956AAA8" w:rsidR="00C65E60" w:rsidRPr="002E0A43" w:rsidRDefault="00C227B9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1</w:t>
            </w:r>
            <w:r w:rsidR="00C65E60">
              <w:rPr>
                <w:sz w:val="20"/>
                <w:szCs w:val="20"/>
              </w:rPr>
              <w:t>00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832A19"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up</w:t>
            </w:r>
            <w:proofErr w:type="spellEnd"/>
            <w:r>
              <w:rPr>
                <w:color w:val="000000"/>
                <w:sz w:val="20"/>
              </w:rPr>
              <w:t xml:space="preserve"> to </w:t>
            </w:r>
            <w:r w:rsidR="00C65E60" w:rsidRPr="00832A19">
              <w:rPr>
                <w:color w:val="000000"/>
                <w:sz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</w:rPr>
              <w:t>years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inclusive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609374B0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 w:rsidR="00C65E60"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F400BB">
              <w:rPr>
                <w:sz w:val="20"/>
              </w:rPr>
              <w:t xml:space="preserve"> </w:t>
            </w:r>
            <w:proofErr w:type="spellStart"/>
            <w:r w:rsidR="00F400BB">
              <w:rPr>
                <w:sz w:val="20"/>
              </w:rPr>
              <w:t>old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477BCC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153DD020" w:rsidR="00C65E60" w:rsidRDefault="0023120E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6F5ED767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2B225A">
              <w:rPr>
                <w:sz w:val="20"/>
              </w:rPr>
              <w:t>3</w:t>
            </w:r>
            <w:r w:rsidR="00C65E60">
              <w:rPr>
                <w:sz w:val="20"/>
              </w:rPr>
              <w:t>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095857D0" w:rsidR="00C65E60" w:rsidRDefault="00C65E60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BUGGY </w:t>
            </w:r>
            <w:r w:rsidR="00213E0B">
              <w:rPr>
                <w:b/>
              </w:rPr>
              <w:t>CUP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435E0160" w:rsidR="00C65E60" w:rsidRPr="0018432E" w:rsidRDefault="00F400BB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 w:rsidR="00213E0B">
              <w:rPr>
                <w:sz w:val="20"/>
                <w:szCs w:val="20"/>
              </w:rPr>
              <w:t>20</w:t>
            </w:r>
            <w:r w:rsidR="00C65E60">
              <w:rPr>
                <w:sz w:val="20"/>
                <w:szCs w:val="20"/>
              </w:rPr>
              <w:t>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67C7748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213E0B">
        <w:rPr>
          <w:b/>
          <w:color w:val="000000"/>
        </w:rPr>
        <w:t>3</w:t>
      </w:r>
      <w:r w:rsidR="000B7CF8">
        <w:rPr>
          <w:b/>
          <w:color w:val="000000"/>
        </w:rPr>
        <w:t xml:space="preserve">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90372E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yperlink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BB98" w14:textId="77777777" w:rsidR="0090372E" w:rsidRDefault="0090372E" w:rsidP="00A65459">
      <w:pPr>
        <w:spacing w:after="0" w:line="240" w:lineRule="auto"/>
      </w:pPr>
      <w:r>
        <w:separator/>
      </w:r>
    </w:p>
  </w:endnote>
  <w:endnote w:type="continuationSeparator" w:id="0">
    <w:p w14:paraId="1C172C30" w14:textId="77777777" w:rsidR="0090372E" w:rsidRDefault="0090372E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1599" w14:textId="77777777" w:rsidR="0090372E" w:rsidRDefault="0090372E" w:rsidP="00A65459">
      <w:pPr>
        <w:spacing w:after="0" w:line="240" w:lineRule="auto"/>
      </w:pPr>
      <w:r>
        <w:separator/>
      </w:r>
    </w:p>
  </w:footnote>
  <w:footnote w:type="continuationSeparator" w:id="0">
    <w:p w14:paraId="6EA376E3" w14:textId="77777777" w:rsidR="0090372E" w:rsidRDefault="0090372E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7CC1" w14:textId="3C2EF757" w:rsidR="003215D6" w:rsidRDefault="003215D6" w:rsidP="003215D6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DF392D9" wp14:editId="10B16D59">
          <wp:simplePos x="0" y="0"/>
          <wp:positionH relativeFrom="column">
            <wp:posOffset>5394325</wp:posOffset>
          </wp:positionH>
          <wp:positionV relativeFrom="paragraph">
            <wp:posOffset>-89535</wp:posOffset>
          </wp:positionV>
          <wp:extent cx="986155" cy="416560"/>
          <wp:effectExtent l="0" t="0" r="4445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5E0B98D9" w:rsidR="00A65459" w:rsidRPr="003215D6" w:rsidRDefault="00A65459" w:rsidP="0032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1425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2FCF"/>
    <w:rsid w:val="001E4037"/>
    <w:rsid w:val="00213E0B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B225A"/>
    <w:rsid w:val="002C21B8"/>
    <w:rsid w:val="002E0A43"/>
    <w:rsid w:val="002E3EB0"/>
    <w:rsid w:val="00306187"/>
    <w:rsid w:val="003215D6"/>
    <w:rsid w:val="0032324D"/>
    <w:rsid w:val="003306CC"/>
    <w:rsid w:val="003356ED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A6D9A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3AAD"/>
    <w:rsid w:val="008171A3"/>
    <w:rsid w:val="00824332"/>
    <w:rsid w:val="00832A19"/>
    <w:rsid w:val="00833FDC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0372E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357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52CD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2494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20230119s</cp:lastModifiedBy>
  <cp:revision>4</cp:revision>
  <cp:lastPrinted>2017-11-30T19:17:00Z</cp:lastPrinted>
  <dcterms:created xsi:type="dcterms:W3CDTF">2023-02-22T11:39:00Z</dcterms:created>
  <dcterms:modified xsi:type="dcterms:W3CDTF">2023-02-22T11:56:00Z</dcterms:modified>
</cp:coreProperties>
</file>